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9F" w:rsidRDefault="0057159F" w:rsidP="0057159F">
      <w:pPr>
        <w:spacing w:after="0" w:line="240" w:lineRule="auto"/>
        <w:ind w:left="-284" w:right="-285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Ercole </w:t>
      </w:r>
      <w:proofErr w:type="spellStart"/>
      <w:r>
        <w:rPr>
          <w:rFonts w:ascii="Georgia" w:hAnsi="Georgia"/>
          <w:sz w:val="28"/>
          <w:szCs w:val="28"/>
        </w:rPr>
        <w:t>Ongaro</w:t>
      </w:r>
      <w:proofErr w:type="spellEnd"/>
    </w:p>
    <w:p w:rsidR="0057159F" w:rsidRDefault="0057159F" w:rsidP="0057159F">
      <w:pPr>
        <w:spacing w:after="0" w:line="240" w:lineRule="auto"/>
        <w:ind w:left="-284" w:right="-285"/>
        <w:jc w:val="both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No alla </w:t>
      </w:r>
      <w:bookmarkStart w:id="0" w:name="_GoBack"/>
      <w:bookmarkEnd w:id="0"/>
      <w:r>
        <w:rPr>
          <w:rFonts w:ascii="Georgia" w:hAnsi="Georgia"/>
          <w:b/>
          <w:sz w:val="32"/>
          <w:szCs w:val="32"/>
        </w:rPr>
        <w:t>grande guerra (1915-1918)</w:t>
      </w:r>
    </w:p>
    <w:p w:rsidR="0057159F" w:rsidRDefault="0057159F" w:rsidP="0057159F">
      <w:pPr>
        <w:spacing w:after="0" w:line="240" w:lineRule="auto"/>
        <w:ind w:left="-284" w:right="-285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Città di Castello (PG), I libri di </w:t>
      </w:r>
      <w:proofErr w:type="spellStart"/>
      <w:r>
        <w:rPr>
          <w:rFonts w:ascii="Georgia" w:hAnsi="Georgia"/>
          <w:sz w:val="28"/>
          <w:szCs w:val="28"/>
        </w:rPr>
        <w:t>Emil</w:t>
      </w:r>
      <w:proofErr w:type="spellEnd"/>
      <w:r>
        <w:rPr>
          <w:rFonts w:ascii="Georgia" w:hAnsi="Georgia"/>
          <w:sz w:val="28"/>
          <w:szCs w:val="28"/>
        </w:rPr>
        <w:t>, 2015</w:t>
      </w:r>
    </w:p>
    <w:p w:rsidR="0057159F" w:rsidRDefault="0057159F" w:rsidP="0057159F">
      <w:pPr>
        <w:spacing w:after="0" w:line="240" w:lineRule="auto"/>
        <w:ind w:left="-284" w:right="-285"/>
        <w:jc w:val="both"/>
        <w:rPr>
          <w:rFonts w:ascii="Georgia" w:hAnsi="Georgia"/>
          <w:sz w:val="28"/>
          <w:szCs w:val="28"/>
        </w:rPr>
      </w:pPr>
    </w:p>
    <w:p w:rsidR="0057159F" w:rsidRDefault="0057159F" w:rsidP="0057159F">
      <w:pPr>
        <w:spacing w:after="0" w:line="240" w:lineRule="auto"/>
        <w:ind w:left="-284" w:right="-285"/>
        <w:jc w:val="both"/>
        <w:rPr>
          <w:rFonts w:ascii="Georgia" w:hAnsi="Georgia"/>
          <w:sz w:val="28"/>
          <w:szCs w:val="28"/>
        </w:rPr>
      </w:pPr>
      <w:r w:rsidRPr="002D0566">
        <w:rPr>
          <w:rFonts w:ascii="Georgia" w:hAnsi="Georgia"/>
          <w:sz w:val="28"/>
          <w:szCs w:val="28"/>
        </w:rPr>
        <w:t>Il NO alla Grande guerra affondava le radici nella lotta antimilitarista che a inizio Novecento, dopo la repressione seguita alle proteste sociali del 1898, aveva trovato nuovo vigore. Governo e Comando Supremo dell’esercito adottarono gravi provvedimenti per prevenire e reprimere l’opposizione alla guerra. Tuttavia minoranze politiche e sociali non desistettero dal ribadire il proprio dissenso: in nome di ideali di fraternità universale, in obbedienza al comandamento del “non uccidere”. Queste forze controcorrente si sarebbero rafforzate, assumendo carattere di massa, di fronte alle dimensioni del massacro e al suo protrarsi al di là di o</w:t>
      </w:r>
      <w:r>
        <w:rPr>
          <w:rFonts w:ascii="Georgia" w:hAnsi="Georgia"/>
          <w:sz w:val="28"/>
          <w:szCs w:val="28"/>
        </w:rPr>
        <w:t>gni più pessimistica previsione</w:t>
      </w:r>
    </w:p>
    <w:p w:rsidR="0057159F" w:rsidRPr="002D0566" w:rsidRDefault="0057159F" w:rsidP="0057159F">
      <w:pPr>
        <w:spacing w:after="0" w:line="240" w:lineRule="auto"/>
        <w:ind w:left="-284" w:right="-285"/>
        <w:jc w:val="both"/>
        <w:rPr>
          <w:rFonts w:ascii="Georgia" w:hAnsi="Georgia"/>
          <w:sz w:val="28"/>
          <w:szCs w:val="28"/>
        </w:rPr>
      </w:pPr>
    </w:p>
    <w:p w:rsidR="0057159F" w:rsidRPr="002D0566" w:rsidRDefault="0057159F" w:rsidP="0057159F">
      <w:pPr>
        <w:spacing w:after="0" w:line="240" w:lineRule="auto"/>
        <w:ind w:left="-284" w:right="-285"/>
        <w:jc w:val="both"/>
        <w:rPr>
          <w:rFonts w:ascii="Georgia" w:hAnsi="Georgia"/>
          <w:b/>
          <w:sz w:val="28"/>
          <w:szCs w:val="28"/>
        </w:rPr>
      </w:pPr>
      <w:r w:rsidRPr="002D0566">
        <w:rPr>
          <w:rFonts w:ascii="Georgia" w:hAnsi="Georgia"/>
          <w:b/>
          <w:sz w:val="28"/>
          <w:szCs w:val="28"/>
        </w:rPr>
        <w:t>Autore</w:t>
      </w:r>
    </w:p>
    <w:p w:rsidR="0057159F" w:rsidRDefault="0057159F" w:rsidP="0057159F">
      <w:pPr>
        <w:spacing w:after="0" w:line="240" w:lineRule="auto"/>
        <w:ind w:left="-284" w:right="-285"/>
        <w:jc w:val="both"/>
        <w:rPr>
          <w:rFonts w:ascii="Georgia" w:hAnsi="Georgia"/>
          <w:sz w:val="28"/>
          <w:szCs w:val="28"/>
        </w:rPr>
      </w:pPr>
      <w:r w:rsidRPr="002D0566">
        <w:rPr>
          <w:rFonts w:ascii="Georgia" w:hAnsi="Georgia"/>
          <w:sz w:val="28"/>
          <w:szCs w:val="28"/>
        </w:rPr>
        <w:t xml:space="preserve">Ercole </w:t>
      </w:r>
      <w:proofErr w:type="spellStart"/>
      <w:r w:rsidRPr="002D0566">
        <w:rPr>
          <w:rFonts w:ascii="Georgia" w:hAnsi="Georgia"/>
          <w:sz w:val="28"/>
          <w:szCs w:val="28"/>
        </w:rPr>
        <w:t>Ongaro</w:t>
      </w:r>
      <w:proofErr w:type="spellEnd"/>
      <w:r w:rsidRPr="002D0566">
        <w:rPr>
          <w:rFonts w:ascii="Georgia" w:hAnsi="Georgia"/>
          <w:sz w:val="28"/>
          <w:szCs w:val="28"/>
        </w:rPr>
        <w:t xml:space="preserve">, nato nel 1947 a Bornato in Franciacorta, vive a Lodi; è direttore dell’Istituto lodigiano per la storia della Resistenza e dell’età contemporanea. Ha pubblicato, a partire dal 1977, saggi e monografie su protagonisti, istituzioni, momenti di storia politica e sociale dell’Ottocento e del Novecento. Ha coordinato il Comitato per la pace del Lodigiano dal 1990 al 1999. Nel 2013 ha pubblicato Resistenza nonviolenta 1943-1945 (I Libri di </w:t>
      </w:r>
      <w:proofErr w:type="spellStart"/>
      <w:r w:rsidRPr="002D0566">
        <w:rPr>
          <w:rFonts w:ascii="Georgia" w:hAnsi="Georgia"/>
          <w:sz w:val="28"/>
          <w:szCs w:val="28"/>
        </w:rPr>
        <w:t>Emil</w:t>
      </w:r>
      <w:proofErr w:type="spellEnd"/>
      <w:r w:rsidRPr="002D0566">
        <w:rPr>
          <w:rFonts w:ascii="Georgia" w:hAnsi="Georgia"/>
          <w:sz w:val="28"/>
          <w:szCs w:val="28"/>
        </w:rPr>
        <w:t>).</w:t>
      </w:r>
    </w:p>
    <w:p w:rsidR="0057159F" w:rsidRDefault="0057159F" w:rsidP="0057159F">
      <w:pPr>
        <w:spacing w:after="0" w:line="240" w:lineRule="auto"/>
        <w:ind w:left="-284" w:right="-285"/>
        <w:jc w:val="both"/>
        <w:rPr>
          <w:rFonts w:ascii="Georgia" w:hAnsi="Georgia"/>
          <w:sz w:val="28"/>
          <w:szCs w:val="28"/>
        </w:rPr>
      </w:pPr>
    </w:p>
    <w:p w:rsidR="004D6084" w:rsidRDefault="0057159F"/>
    <w:sectPr w:rsidR="004D60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9F"/>
    <w:rsid w:val="0057159F"/>
    <w:rsid w:val="00982CDC"/>
    <w:rsid w:val="00F4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7653A-2F4C-406F-817B-4DC655AB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15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Clany</dc:creator>
  <cp:keywords/>
  <dc:description/>
  <cp:lastModifiedBy>Clany</cp:lastModifiedBy>
  <cp:revision>1</cp:revision>
  <dcterms:created xsi:type="dcterms:W3CDTF">2022-03-05T21:03:00Z</dcterms:created>
  <dcterms:modified xsi:type="dcterms:W3CDTF">2022-03-05T21:05:00Z</dcterms:modified>
</cp:coreProperties>
</file>